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F5F5E" w14:textId="4D7704A7" w:rsidR="0014114B" w:rsidRPr="00A94093" w:rsidRDefault="00EF3C54" w:rsidP="00A94093">
      <w:pPr>
        <w:jc w:val="center"/>
        <w:rPr>
          <w:b/>
          <w:lang w:val="en-US"/>
        </w:rPr>
      </w:pPr>
      <w:bookmarkStart w:id="0" w:name="_GoBack"/>
      <w:bookmarkEnd w:id="0"/>
      <w:r>
        <w:rPr>
          <w:b/>
          <w:lang w:val="en-US"/>
        </w:rPr>
        <w:t xml:space="preserve">Peruvian </w:t>
      </w:r>
      <w:r w:rsidR="00792DF3">
        <w:rPr>
          <w:b/>
          <w:lang w:val="en-US"/>
        </w:rPr>
        <w:t xml:space="preserve">Court Rules that </w:t>
      </w:r>
      <w:r w:rsidR="001C501D" w:rsidRPr="00A94093">
        <w:rPr>
          <w:b/>
          <w:lang w:val="en-US"/>
        </w:rPr>
        <w:t>Hudbay Minerals</w:t>
      </w:r>
      <w:r w:rsidR="00C454C5">
        <w:rPr>
          <w:b/>
          <w:lang w:val="en-US"/>
        </w:rPr>
        <w:t xml:space="preserve">’ Contract with Police </w:t>
      </w:r>
      <w:r w:rsidR="00D751C8">
        <w:rPr>
          <w:b/>
          <w:lang w:val="en-US"/>
        </w:rPr>
        <w:t>Influenced</w:t>
      </w:r>
      <w:r w:rsidR="00C454C5">
        <w:rPr>
          <w:b/>
          <w:lang w:val="en-US"/>
        </w:rPr>
        <w:t xml:space="preserve"> Criminalization of </w:t>
      </w:r>
      <w:r w:rsidR="00CA3246">
        <w:rPr>
          <w:b/>
          <w:lang w:val="en-US"/>
        </w:rPr>
        <w:t>International Researchers</w:t>
      </w:r>
    </w:p>
    <w:p w14:paraId="110799A0" w14:textId="6B9D3C01" w:rsidR="001C501D" w:rsidRDefault="001C501D">
      <w:pPr>
        <w:rPr>
          <w:lang w:val="en-US"/>
        </w:rPr>
      </w:pPr>
    </w:p>
    <w:p w14:paraId="58B55805" w14:textId="3F0D64EA" w:rsidR="001C501D" w:rsidRDefault="001C501D">
      <w:pPr>
        <w:rPr>
          <w:lang w:val="en-US"/>
        </w:rPr>
      </w:pPr>
      <w:r>
        <w:rPr>
          <w:lang w:val="en-US"/>
        </w:rPr>
        <w:t xml:space="preserve">A Peruvian court has ruled that police and the Ministry of the Interior </w:t>
      </w:r>
      <w:r w:rsidR="00177708">
        <w:rPr>
          <w:lang w:val="en-US"/>
        </w:rPr>
        <w:t xml:space="preserve">acted </w:t>
      </w:r>
      <w:r w:rsidR="00746029">
        <w:rPr>
          <w:lang w:val="en-US"/>
        </w:rPr>
        <w:t>with bias as a result of</w:t>
      </w:r>
      <w:r>
        <w:rPr>
          <w:lang w:val="en-US"/>
        </w:rPr>
        <w:t xml:space="preserve"> a security contract </w:t>
      </w:r>
      <w:r w:rsidR="006962F4">
        <w:rPr>
          <w:lang w:val="en-US"/>
        </w:rPr>
        <w:t xml:space="preserve">between </w:t>
      </w:r>
      <w:r>
        <w:rPr>
          <w:lang w:val="en-US"/>
        </w:rPr>
        <w:t xml:space="preserve">Canadian mining company Hudbay Minerals </w:t>
      </w:r>
      <w:r w:rsidR="00EF3C54">
        <w:rPr>
          <w:lang w:val="en-US"/>
        </w:rPr>
        <w:t xml:space="preserve">and national police </w:t>
      </w:r>
      <w:r>
        <w:rPr>
          <w:lang w:val="en-US"/>
        </w:rPr>
        <w:t xml:space="preserve">when they </w:t>
      </w:r>
      <w:r w:rsidR="00360987">
        <w:rPr>
          <w:lang w:val="en-US"/>
        </w:rPr>
        <w:t xml:space="preserve">illegally </w:t>
      </w:r>
      <w:r>
        <w:rPr>
          <w:lang w:val="en-US"/>
        </w:rPr>
        <w:t xml:space="preserve">detained former Latin America Program Coordinator for </w:t>
      </w:r>
      <w:proofErr w:type="spellStart"/>
      <w:r>
        <w:rPr>
          <w:lang w:val="en-US"/>
        </w:rPr>
        <w:t>MiningWatch</w:t>
      </w:r>
      <w:proofErr w:type="spellEnd"/>
      <w:r>
        <w:rPr>
          <w:lang w:val="en-US"/>
        </w:rPr>
        <w:t xml:space="preserve"> Canada, Jen Moore</w:t>
      </w:r>
      <w:r w:rsidR="00B5004F">
        <w:rPr>
          <w:lang w:val="en-US"/>
        </w:rPr>
        <w:t xml:space="preserve"> (now an Associate Fellow with the Mining and Trade project at </w:t>
      </w:r>
      <w:r w:rsidR="00EF3C54">
        <w:rPr>
          <w:lang w:val="en-US"/>
        </w:rPr>
        <w:t>the Institute for Policy Studies</w:t>
      </w:r>
      <w:r w:rsidR="00B5004F">
        <w:rPr>
          <w:lang w:val="en-US"/>
        </w:rPr>
        <w:t>)</w:t>
      </w:r>
      <w:r>
        <w:rPr>
          <w:lang w:val="en-US"/>
        </w:rPr>
        <w:t xml:space="preserve">, and U.S. investigative journalist John Dougherty in </w:t>
      </w:r>
      <w:r w:rsidR="00A94093">
        <w:rPr>
          <w:lang w:val="en-US"/>
        </w:rPr>
        <w:t xml:space="preserve">late </w:t>
      </w:r>
      <w:r>
        <w:rPr>
          <w:lang w:val="en-US"/>
        </w:rPr>
        <w:t>April 2017</w:t>
      </w:r>
      <w:r w:rsidR="00EF3C54">
        <w:rPr>
          <w:lang w:val="en-US"/>
        </w:rPr>
        <w:t>. The two were screening a film about the legacy of colonial violence, environmental contamination, broken promises and police repression of protests at Hudbay’s operations in Canada, the U.S., Guatemal</w:t>
      </w:r>
      <w:r w:rsidR="0009052E">
        <w:rPr>
          <w:lang w:val="en-US"/>
        </w:rPr>
        <w:t>a</w:t>
      </w:r>
      <w:r w:rsidR="00EF3C54">
        <w:rPr>
          <w:lang w:val="en-US"/>
        </w:rPr>
        <w:t xml:space="preserve"> and Peru. Two da</w:t>
      </w:r>
      <w:r w:rsidR="00865FAE">
        <w:rPr>
          <w:lang w:val="en-US"/>
        </w:rPr>
        <w:t>y</w:t>
      </w:r>
      <w:r w:rsidR="00EF3C54">
        <w:rPr>
          <w:lang w:val="en-US"/>
        </w:rPr>
        <w:t xml:space="preserve">s after their detention, the immigration authority prohibited their return to the country for an indefinite period of time. </w:t>
      </w:r>
      <w:hyperlink r:id="rId6" w:anchor="c156997" w:history="1">
        <w:proofErr w:type="spellStart"/>
        <w:r w:rsidR="00A94093" w:rsidRPr="00865FAE">
          <w:rPr>
            <w:rStyle w:val="Hyperlink"/>
            <w:lang w:val="en-US"/>
          </w:rPr>
          <w:t>HudBay</w:t>
        </w:r>
        <w:proofErr w:type="spellEnd"/>
        <w:r w:rsidR="00A94093" w:rsidRPr="00865FAE">
          <w:rPr>
            <w:rStyle w:val="Hyperlink"/>
            <w:lang w:val="en-US"/>
          </w:rPr>
          <w:t xml:space="preserve"> Minerals argued</w:t>
        </w:r>
        <w:r w:rsidR="00BB423B" w:rsidRPr="00865FAE">
          <w:rPr>
            <w:rStyle w:val="Hyperlink"/>
            <w:lang w:val="en-US"/>
          </w:rPr>
          <w:t xml:space="preserve"> at the time</w:t>
        </w:r>
      </w:hyperlink>
      <w:r w:rsidR="00A94093">
        <w:rPr>
          <w:lang w:val="en-US"/>
        </w:rPr>
        <w:t xml:space="preserve"> that it had nothing to do with the criminalization of the two</w:t>
      </w:r>
      <w:r w:rsidR="00177708">
        <w:rPr>
          <w:lang w:val="en-US"/>
        </w:rPr>
        <w:t xml:space="preserve">, </w:t>
      </w:r>
      <w:r w:rsidR="00746029">
        <w:rPr>
          <w:lang w:val="en-US"/>
        </w:rPr>
        <w:t>although it admitted to contracting</w:t>
      </w:r>
      <w:r w:rsidR="00177708">
        <w:rPr>
          <w:lang w:val="en-US"/>
        </w:rPr>
        <w:t xml:space="preserve"> police for security services</w:t>
      </w:r>
      <w:r w:rsidR="00A94093">
        <w:rPr>
          <w:lang w:val="en-US"/>
        </w:rPr>
        <w:t>.</w:t>
      </w:r>
    </w:p>
    <w:p w14:paraId="278DA485" w14:textId="20C8AB91" w:rsidR="001C501D" w:rsidRDefault="001C501D">
      <w:pPr>
        <w:rPr>
          <w:lang w:val="en-US"/>
        </w:rPr>
      </w:pPr>
    </w:p>
    <w:p w14:paraId="22FB9511" w14:textId="1042449B" w:rsidR="0005123F" w:rsidRPr="00144ACD" w:rsidRDefault="006962F4" w:rsidP="006962F4">
      <w:pPr>
        <w:rPr>
          <w:lang w:val="en-US"/>
        </w:rPr>
      </w:pPr>
      <w:r>
        <w:rPr>
          <w:lang w:val="en-US"/>
        </w:rPr>
        <w:t xml:space="preserve">In response to a </w:t>
      </w:r>
      <w:hyperlink r:id="rId7" w:history="1">
        <w:r w:rsidRPr="00865FAE">
          <w:rPr>
            <w:rStyle w:val="Hyperlink"/>
            <w:i/>
            <w:lang w:val="en-US"/>
          </w:rPr>
          <w:t>habeas corpus</w:t>
        </w:r>
        <w:r w:rsidRPr="00865FAE">
          <w:rPr>
            <w:rStyle w:val="Hyperlink"/>
            <w:lang w:val="en-US"/>
          </w:rPr>
          <w:t xml:space="preserve"> </w:t>
        </w:r>
        <w:r w:rsidR="001D47EA" w:rsidRPr="00865FAE">
          <w:rPr>
            <w:rStyle w:val="Hyperlink"/>
            <w:lang w:val="en-US"/>
          </w:rPr>
          <w:t>motion</w:t>
        </w:r>
      </w:hyperlink>
      <w:r>
        <w:rPr>
          <w:lang w:val="en-US"/>
        </w:rPr>
        <w:t xml:space="preserve"> filed </w:t>
      </w:r>
      <w:r w:rsidR="007D5074">
        <w:rPr>
          <w:lang w:val="en-US"/>
        </w:rPr>
        <w:t>with support from</w:t>
      </w:r>
      <w:r>
        <w:rPr>
          <w:lang w:val="en-US"/>
        </w:rPr>
        <w:t xml:space="preserve"> the Institute for Legal Defense</w:t>
      </w:r>
      <w:r w:rsidR="00511717">
        <w:rPr>
          <w:lang w:val="en-US"/>
        </w:rPr>
        <w:t xml:space="preserve"> (IDL)</w:t>
      </w:r>
      <w:r>
        <w:rPr>
          <w:lang w:val="en-US"/>
        </w:rPr>
        <w:t xml:space="preserve">, Human Rights Without Borders – Cusco </w:t>
      </w:r>
      <w:r w:rsidR="00511717">
        <w:rPr>
          <w:lang w:val="en-US"/>
        </w:rPr>
        <w:t>(DHSF)</w:t>
      </w:r>
      <w:r w:rsidR="007D5074">
        <w:rPr>
          <w:lang w:val="en-US"/>
        </w:rPr>
        <w:t>,</w:t>
      </w:r>
      <w:r>
        <w:rPr>
          <w:lang w:val="en-US"/>
        </w:rPr>
        <w:t xml:space="preserve"> </w:t>
      </w:r>
      <w:r w:rsidR="001D47EA" w:rsidRPr="001D47EA">
        <w:rPr>
          <w:lang w:val="en-US"/>
        </w:rPr>
        <w:t xml:space="preserve">the Association for Life and Human Dignity </w:t>
      </w:r>
      <w:r w:rsidR="00511717">
        <w:rPr>
          <w:lang w:val="en-US"/>
        </w:rPr>
        <w:t>(APORVIDHA)</w:t>
      </w:r>
      <w:r w:rsidR="007D5074">
        <w:rPr>
          <w:lang w:val="en-US"/>
        </w:rPr>
        <w:t xml:space="preserve">, </w:t>
      </w:r>
      <w:proofErr w:type="spellStart"/>
      <w:r w:rsidR="007D5074">
        <w:rPr>
          <w:lang w:val="en-US"/>
        </w:rPr>
        <w:t>Fedepaz</w:t>
      </w:r>
      <w:proofErr w:type="spellEnd"/>
      <w:r w:rsidR="007D5074">
        <w:rPr>
          <w:lang w:val="en-US"/>
        </w:rPr>
        <w:t xml:space="preserve"> and </w:t>
      </w:r>
      <w:proofErr w:type="spellStart"/>
      <w:r w:rsidR="007D5074">
        <w:rPr>
          <w:lang w:val="en-US"/>
        </w:rPr>
        <w:t>Cooperacción</w:t>
      </w:r>
      <w:proofErr w:type="spellEnd"/>
      <w:r w:rsidR="001D47EA" w:rsidRPr="001D47EA">
        <w:rPr>
          <w:lang w:val="en-US"/>
        </w:rPr>
        <w:t xml:space="preserve"> </w:t>
      </w:r>
      <w:r w:rsidRPr="001D47EA">
        <w:rPr>
          <w:lang w:val="en-US"/>
        </w:rPr>
        <w:t>on</w:t>
      </w:r>
      <w:r>
        <w:rPr>
          <w:lang w:val="en-US"/>
        </w:rPr>
        <w:t xml:space="preserve"> behalf of Jen Moore</w:t>
      </w:r>
      <w:r w:rsidR="00746029">
        <w:rPr>
          <w:lang w:val="en-US"/>
        </w:rPr>
        <w:t xml:space="preserve"> in May 2017</w:t>
      </w:r>
      <w:r>
        <w:rPr>
          <w:lang w:val="en-US"/>
        </w:rPr>
        <w:t xml:space="preserve">, </w:t>
      </w:r>
      <w:r w:rsidR="0005123F">
        <w:rPr>
          <w:lang w:val="en-US"/>
        </w:rPr>
        <w:t>a</w:t>
      </w:r>
      <w:r>
        <w:rPr>
          <w:lang w:val="en-US"/>
        </w:rPr>
        <w:t xml:space="preserve"> </w:t>
      </w:r>
      <w:r w:rsidR="0005123F">
        <w:rPr>
          <w:lang w:val="en-US"/>
        </w:rPr>
        <w:t>Lima court</w:t>
      </w:r>
      <w:r>
        <w:rPr>
          <w:lang w:val="en-US"/>
        </w:rPr>
        <w:t xml:space="preserve"> notified the lawyers of </w:t>
      </w:r>
      <w:hyperlink r:id="rId8" w:history="1">
        <w:r w:rsidRPr="00865FAE">
          <w:rPr>
            <w:rStyle w:val="Hyperlink"/>
            <w:lang w:val="en-US"/>
          </w:rPr>
          <w:t>its ruling in her favor</w:t>
        </w:r>
        <w:r w:rsidR="0005123F" w:rsidRPr="00865FAE">
          <w:rPr>
            <w:rStyle w:val="Hyperlink"/>
            <w:lang w:val="en-US"/>
          </w:rPr>
          <w:t xml:space="preserve"> earlier this month</w:t>
        </w:r>
      </w:hyperlink>
      <w:r>
        <w:rPr>
          <w:rFonts w:ascii="Arial" w:eastAsia="Times New Roman" w:hAnsi="Arial" w:cs="Arial"/>
          <w:color w:val="222222"/>
          <w:shd w:val="clear" w:color="auto" w:fill="FFFFFF"/>
        </w:rPr>
        <w:t>.</w:t>
      </w:r>
      <w:r>
        <w:rPr>
          <w:lang w:val="en-US"/>
        </w:rPr>
        <w:t xml:space="preserve"> </w:t>
      </w:r>
      <w:r w:rsidR="00EF3C54">
        <w:rPr>
          <w:lang w:val="en-US"/>
        </w:rPr>
        <w:t>In addition to</w:t>
      </w:r>
      <w:r w:rsidRPr="00A371BD">
        <w:rPr>
          <w:lang w:val="en-US"/>
        </w:rPr>
        <w:t xml:space="preserve"> </w:t>
      </w:r>
      <w:r w:rsidR="00A371BD">
        <w:rPr>
          <w:lang w:val="en-US"/>
        </w:rPr>
        <w:t>recogniz</w:t>
      </w:r>
      <w:r w:rsidR="00EF3C54">
        <w:rPr>
          <w:lang w:val="en-US"/>
        </w:rPr>
        <w:t>ing</w:t>
      </w:r>
      <w:r w:rsidRPr="00A371BD">
        <w:rPr>
          <w:lang w:val="en-US"/>
        </w:rPr>
        <w:t xml:space="preserve"> that </w:t>
      </w:r>
      <w:r w:rsidR="007460FD">
        <w:rPr>
          <w:lang w:val="en-US"/>
        </w:rPr>
        <w:t xml:space="preserve">the </w:t>
      </w:r>
      <w:r w:rsidRPr="00A371BD">
        <w:rPr>
          <w:lang w:val="en-US"/>
        </w:rPr>
        <w:t xml:space="preserve">police and Ministry of the Interior </w:t>
      </w:r>
      <w:r w:rsidR="00746029">
        <w:rPr>
          <w:lang w:val="en-US"/>
        </w:rPr>
        <w:t>were partial to</w:t>
      </w:r>
      <w:r w:rsidR="00A371BD">
        <w:rPr>
          <w:lang w:val="en-US"/>
        </w:rPr>
        <w:t xml:space="preserve"> </w:t>
      </w:r>
      <w:proofErr w:type="spellStart"/>
      <w:r w:rsidR="00A371BD" w:rsidRPr="00A371BD">
        <w:rPr>
          <w:lang w:val="en-US"/>
        </w:rPr>
        <w:t>HudBay</w:t>
      </w:r>
      <w:proofErr w:type="spellEnd"/>
      <w:r w:rsidR="00A371BD" w:rsidRPr="00A371BD">
        <w:rPr>
          <w:lang w:val="en-US"/>
        </w:rPr>
        <w:t xml:space="preserve"> Minerals</w:t>
      </w:r>
      <w:r w:rsidR="00746029">
        <w:rPr>
          <w:lang w:val="en-US"/>
        </w:rPr>
        <w:t>’ interests</w:t>
      </w:r>
      <w:r w:rsidR="00EF3C54">
        <w:rPr>
          <w:lang w:val="en-US"/>
        </w:rPr>
        <w:t>, t</w:t>
      </w:r>
      <w:r>
        <w:rPr>
          <w:lang w:val="en-US"/>
        </w:rPr>
        <w:t xml:space="preserve">he ruling finds that </w:t>
      </w:r>
      <w:r w:rsidR="00360987">
        <w:rPr>
          <w:lang w:val="en-US"/>
        </w:rPr>
        <w:t>sharing</w:t>
      </w:r>
      <w:r>
        <w:rPr>
          <w:lang w:val="en-US"/>
        </w:rPr>
        <w:t xml:space="preserve"> information about the negative impacts of mining </w:t>
      </w:r>
      <w:r w:rsidR="00360987">
        <w:rPr>
          <w:lang w:val="en-US"/>
        </w:rPr>
        <w:t>does not threaten public order</w:t>
      </w:r>
      <w:r w:rsidR="007460FD">
        <w:rPr>
          <w:lang w:val="en-US"/>
        </w:rPr>
        <w:t xml:space="preserve"> nor does it violate</w:t>
      </w:r>
      <w:r w:rsidR="00360987">
        <w:rPr>
          <w:lang w:val="en-US"/>
        </w:rPr>
        <w:t xml:space="preserve"> migratory law</w:t>
      </w:r>
      <w:r w:rsidR="00EF3C54">
        <w:rPr>
          <w:lang w:val="en-US"/>
        </w:rPr>
        <w:t>, which were among the accusations made by police</w:t>
      </w:r>
      <w:r w:rsidR="007460FD">
        <w:rPr>
          <w:lang w:val="en-US"/>
        </w:rPr>
        <w:t>.</w:t>
      </w:r>
      <w:r w:rsidR="00360987">
        <w:rPr>
          <w:lang w:val="en-US"/>
        </w:rPr>
        <w:t xml:space="preserve"> </w:t>
      </w:r>
      <w:r w:rsidR="007460FD">
        <w:rPr>
          <w:lang w:val="en-US"/>
        </w:rPr>
        <w:t>O</w:t>
      </w:r>
      <w:r w:rsidR="00360987">
        <w:rPr>
          <w:lang w:val="en-US"/>
        </w:rPr>
        <w:t>n the contrary</w:t>
      </w:r>
      <w:r w:rsidR="007460FD">
        <w:rPr>
          <w:lang w:val="en-US"/>
        </w:rPr>
        <w:t>, the ruling finds</w:t>
      </w:r>
      <w:r w:rsidR="00360987">
        <w:rPr>
          <w:lang w:val="en-US"/>
        </w:rPr>
        <w:t xml:space="preserve"> that </w:t>
      </w:r>
      <w:r w:rsidR="00EF3C54">
        <w:rPr>
          <w:lang w:val="en-US"/>
        </w:rPr>
        <w:t>Moore was</w:t>
      </w:r>
      <w:r w:rsidR="00360987">
        <w:rPr>
          <w:lang w:val="en-US"/>
        </w:rPr>
        <w:t xml:space="preserve"> acting within </w:t>
      </w:r>
      <w:r w:rsidR="00EF3C54">
        <w:rPr>
          <w:lang w:val="en-US"/>
        </w:rPr>
        <w:t>her</w:t>
      </w:r>
      <w:r w:rsidR="00360987">
        <w:rPr>
          <w:lang w:val="en-US"/>
        </w:rPr>
        <w:t xml:space="preserve"> rights, </w:t>
      </w:r>
      <w:r>
        <w:rPr>
          <w:lang w:val="en-US"/>
        </w:rPr>
        <w:t xml:space="preserve">and that </w:t>
      </w:r>
      <w:r w:rsidR="00EF3C54">
        <w:rPr>
          <w:lang w:val="en-US"/>
        </w:rPr>
        <w:t xml:space="preserve">this process of </w:t>
      </w:r>
      <w:r>
        <w:rPr>
          <w:lang w:val="en-US"/>
        </w:rPr>
        <w:t xml:space="preserve">criminalization constitutes a violation of </w:t>
      </w:r>
      <w:r w:rsidR="00EF3C54">
        <w:rPr>
          <w:lang w:val="en-US"/>
        </w:rPr>
        <w:t xml:space="preserve">individual </w:t>
      </w:r>
      <w:r>
        <w:rPr>
          <w:lang w:val="en-US"/>
        </w:rPr>
        <w:t>rights to freedom of expression and</w:t>
      </w:r>
      <w:r w:rsidR="00EF3C54">
        <w:rPr>
          <w:lang w:val="en-US"/>
        </w:rPr>
        <w:t xml:space="preserve"> collective rights to access</w:t>
      </w:r>
      <w:r>
        <w:rPr>
          <w:lang w:val="en-US"/>
        </w:rPr>
        <w:t xml:space="preserve"> information. </w:t>
      </w:r>
      <w:r w:rsidR="00EF3C54">
        <w:rPr>
          <w:lang w:val="en-US"/>
        </w:rPr>
        <w:t>It is important to note that t</w:t>
      </w:r>
      <w:r>
        <w:rPr>
          <w:lang w:val="en-US"/>
        </w:rPr>
        <w:t>his ruling is</w:t>
      </w:r>
      <w:r w:rsidR="00A26928">
        <w:rPr>
          <w:lang w:val="en-US"/>
        </w:rPr>
        <w:t xml:space="preserve"> not final and is</w:t>
      </w:r>
      <w:r>
        <w:rPr>
          <w:lang w:val="en-US"/>
        </w:rPr>
        <w:t xml:space="preserve"> subject to appeal. </w:t>
      </w:r>
    </w:p>
    <w:p w14:paraId="3498BA40" w14:textId="5919CB4D" w:rsidR="00914489" w:rsidRDefault="00914489" w:rsidP="00914489">
      <w:pPr>
        <w:rPr>
          <w:lang w:val="en-US"/>
        </w:rPr>
      </w:pPr>
    </w:p>
    <w:p w14:paraId="622DF1B4" w14:textId="2A190C77" w:rsidR="00914489" w:rsidRPr="00177708" w:rsidRDefault="00914489" w:rsidP="00914489">
      <w:pPr>
        <w:rPr>
          <w:rStyle w:val="None"/>
          <w:lang w:val="en-US"/>
        </w:rPr>
      </w:pPr>
      <w:r>
        <w:rPr>
          <w:lang w:val="en-US"/>
        </w:rPr>
        <w:t xml:space="preserve">While contracts between Peruvian security forces and mining companies are legal, national and international organizations have vociferously opposed these arrangements given their </w:t>
      </w:r>
      <w:r w:rsidRPr="000E320E">
        <w:rPr>
          <w:rStyle w:val="None"/>
        </w:rPr>
        <w:t xml:space="preserve">detrimental </w:t>
      </w:r>
      <w:r>
        <w:rPr>
          <w:rStyle w:val="None"/>
        </w:rPr>
        <w:t>impacts on</w:t>
      </w:r>
      <w:r w:rsidRPr="000E320E">
        <w:rPr>
          <w:rStyle w:val="None"/>
        </w:rPr>
        <w:t xml:space="preserve"> the impartiality and independence of the police force,</w:t>
      </w:r>
      <w:r w:rsidR="00EF3C54">
        <w:rPr>
          <w:rStyle w:val="None"/>
        </w:rPr>
        <w:t xml:space="preserve"> which is necessary to their role in ensuring justice, not </w:t>
      </w:r>
      <w:r>
        <w:rPr>
          <w:rStyle w:val="None"/>
        </w:rPr>
        <w:t>facilitating</w:t>
      </w:r>
      <w:r w:rsidR="00177708">
        <w:rPr>
          <w:rStyle w:val="None"/>
        </w:rPr>
        <w:t xml:space="preserve"> criminalization</w:t>
      </w:r>
      <w:r w:rsidR="00EF3C54">
        <w:rPr>
          <w:rStyle w:val="None"/>
        </w:rPr>
        <w:t>, violating people’s rights</w:t>
      </w:r>
      <w:r w:rsidR="00177708">
        <w:rPr>
          <w:rStyle w:val="None"/>
        </w:rPr>
        <w:t xml:space="preserve"> and repressi</w:t>
      </w:r>
      <w:r w:rsidR="00EF3C54">
        <w:rPr>
          <w:rStyle w:val="None"/>
        </w:rPr>
        <w:t>ng Indigenous peoples and other mining-affected communities around the country</w:t>
      </w:r>
      <w:r>
        <w:rPr>
          <w:rStyle w:val="None"/>
        </w:rPr>
        <w:t xml:space="preserve">. </w:t>
      </w:r>
    </w:p>
    <w:p w14:paraId="179E7909" w14:textId="77777777" w:rsidR="00914489" w:rsidRDefault="00914489" w:rsidP="00914489">
      <w:pPr>
        <w:rPr>
          <w:rStyle w:val="None"/>
        </w:rPr>
      </w:pPr>
    </w:p>
    <w:p w14:paraId="3595FE4D" w14:textId="58FEA11E" w:rsidR="00914489" w:rsidRDefault="00790532" w:rsidP="00914489">
      <w:pPr>
        <w:rPr>
          <w:rFonts w:cstheme="minorHAnsi"/>
        </w:rPr>
      </w:pPr>
      <w:hyperlink r:id="rId9" w:history="1">
        <w:proofErr w:type="spellStart"/>
        <w:r w:rsidR="00914489" w:rsidRPr="00865FAE">
          <w:rPr>
            <w:rStyle w:val="Hyperlink"/>
          </w:rPr>
          <w:t>EarthRights</w:t>
        </w:r>
        <w:proofErr w:type="spellEnd"/>
        <w:r w:rsidR="00914489" w:rsidRPr="00865FAE">
          <w:rPr>
            <w:rStyle w:val="Hyperlink"/>
          </w:rPr>
          <w:t xml:space="preserve"> International, the Peruvian Institute for Legal Defense and the National Coordinating Committee for Human Rights in Peru</w:t>
        </w:r>
        <w:r w:rsidR="00360987" w:rsidRPr="00865FAE">
          <w:rPr>
            <w:rStyle w:val="Hyperlink"/>
          </w:rPr>
          <w:t xml:space="preserve"> released</w:t>
        </w:r>
        <w:r w:rsidR="00914489" w:rsidRPr="00865FAE">
          <w:rPr>
            <w:rStyle w:val="Hyperlink"/>
          </w:rPr>
          <w:t xml:space="preserve"> a recent study</w:t>
        </w:r>
      </w:hyperlink>
      <w:r w:rsidR="00914489">
        <w:rPr>
          <w:rStyle w:val="None"/>
        </w:rPr>
        <w:t xml:space="preserve"> </w:t>
      </w:r>
      <w:r w:rsidR="00360987">
        <w:rPr>
          <w:rStyle w:val="None"/>
        </w:rPr>
        <w:t xml:space="preserve">in which they found that </w:t>
      </w:r>
      <w:r w:rsidR="00914489" w:rsidRPr="000E320E">
        <w:rPr>
          <w:rStyle w:val="None"/>
        </w:rPr>
        <w:t xml:space="preserve">mining </w:t>
      </w:r>
      <w:r w:rsidR="00914489" w:rsidRPr="007F6D78">
        <w:rPr>
          <w:rStyle w:val="None"/>
          <w:rFonts w:cstheme="minorHAnsi"/>
        </w:rPr>
        <w:t xml:space="preserve">companies and other extractive firms have signed at least 138 contracts with police in Peru from 1995 to 2018. There are numerous examples of where these privatized police arrangements </w:t>
      </w:r>
      <w:r w:rsidR="007F6786">
        <w:rPr>
          <w:rStyle w:val="None"/>
          <w:rFonts w:cstheme="minorHAnsi"/>
        </w:rPr>
        <w:t>occur</w:t>
      </w:r>
      <w:r w:rsidR="00914489" w:rsidRPr="007F6D78">
        <w:rPr>
          <w:rStyle w:val="None"/>
          <w:rFonts w:cstheme="minorHAnsi"/>
        </w:rPr>
        <w:t xml:space="preserve"> </w:t>
      </w:r>
      <w:r w:rsidR="007F6786">
        <w:rPr>
          <w:rStyle w:val="None"/>
          <w:rFonts w:cstheme="minorHAnsi"/>
        </w:rPr>
        <w:t>with grave impacts, including</w:t>
      </w:r>
      <w:r w:rsidR="00914489" w:rsidRPr="007F6D78">
        <w:rPr>
          <w:rFonts w:cstheme="minorHAnsi"/>
        </w:rPr>
        <w:t xml:space="preserve"> where </w:t>
      </w:r>
      <w:hyperlink r:id="rId10" w:history="1">
        <w:r w:rsidR="00914489" w:rsidRPr="00865FAE">
          <w:rPr>
            <w:rStyle w:val="Hyperlink"/>
            <w:rFonts w:cstheme="minorHAnsi"/>
          </w:rPr>
          <w:t xml:space="preserve">police response </w:t>
        </w:r>
        <w:r w:rsidR="00A371BD" w:rsidRPr="00865FAE">
          <w:rPr>
            <w:rStyle w:val="Hyperlink"/>
            <w:rFonts w:cstheme="minorHAnsi"/>
          </w:rPr>
          <w:t xml:space="preserve">to community protests </w:t>
        </w:r>
        <w:r w:rsidR="00914489" w:rsidRPr="00865FAE">
          <w:rPr>
            <w:rStyle w:val="Hyperlink"/>
            <w:rFonts w:cstheme="minorHAnsi"/>
          </w:rPr>
          <w:t>ha</w:t>
        </w:r>
        <w:r w:rsidR="00A371BD" w:rsidRPr="00865FAE">
          <w:rPr>
            <w:rStyle w:val="Hyperlink"/>
            <w:rFonts w:cstheme="minorHAnsi"/>
          </w:rPr>
          <w:t>s</w:t>
        </w:r>
        <w:r w:rsidR="00914489" w:rsidRPr="00865FAE">
          <w:rPr>
            <w:rStyle w:val="Hyperlink"/>
            <w:rFonts w:cstheme="minorHAnsi"/>
          </w:rPr>
          <w:t xml:space="preserve"> led to criminalization</w:t>
        </w:r>
        <w:r w:rsidR="007F6786" w:rsidRPr="00865FAE">
          <w:rPr>
            <w:rStyle w:val="Hyperlink"/>
            <w:rFonts w:cstheme="minorHAnsi"/>
          </w:rPr>
          <w:t xml:space="preserve"> or where repression has led to</w:t>
        </w:r>
        <w:r w:rsidR="00914489" w:rsidRPr="00865FAE">
          <w:rPr>
            <w:rStyle w:val="Hyperlink"/>
            <w:rFonts w:cstheme="minorHAnsi"/>
          </w:rPr>
          <w:t xml:space="preserve"> injury and death</w:t>
        </w:r>
      </w:hyperlink>
      <w:r w:rsidR="00914489" w:rsidRPr="007F6D78">
        <w:rPr>
          <w:rFonts w:cstheme="minorHAnsi"/>
        </w:rPr>
        <w:t xml:space="preserve">. </w:t>
      </w:r>
      <w:r w:rsidR="00770B88">
        <w:rPr>
          <w:rFonts w:cstheme="minorHAnsi"/>
        </w:rPr>
        <w:t xml:space="preserve">In the case of Glencore’s </w:t>
      </w:r>
      <w:proofErr w:type="spellStart"/>
      <w:r w:rsidR="00770B88">
        <w:rPr>
          <w:rFonts w:cstheme="minorHAnsi"/>
        </w:rPr>
        <w:t>Tintaya</w:t>
      </w:r>
      <w:proofErr w:type="spellEnd"/>
      <w:r w:rsidR="00770B88">
        <w:rPr>
          <w:rFonts w:cstheme="minorHAnsi"/>
        </w:rPr>
        <w:t xml:space="preserve"> mine</w:t>
      </w:r>
      <w:r w:rsidR="00B8736C">
        <w:rPr>
          <w:rFonts w:cstheme="minorHAnsi"/>
        </w:rPr>
        <w:t xml:space="preserve"> (formerly owned by </w:t>
      </w:r>
      <w:proofErr w:type="spellStart"/>
      <w:r w:rsidR="00B8736C">
        <w:rPr>
          <w:rFonts w:cstheme="minorHAnsi"/>
        </w:rPr>
        <w:t>XStrata</w:t>
      </w:r>
      <w:proofErr w:type="spellEnd"/>
      <w:r w:rsidR="00B8736C">
        <w:rPr>
          <w:rFonts w:cstheme="minorHAnsi"/>
        </w:rPr>
        <w:t>)</w:t>
      </w:r>
      <w:r w:rsidR="00770B88">
        <w:rPr>
          <w:rFonts w:cstheme="minorHAnsi"/>
        </w:rPr>
        <w:t xml:space="preserve">, </w:t>
      </w:r>
      <w:r w:rsidR="00B8736C" w:rsidRPr="00147E0F">
        <w:rPr>
          <w:color w:val="000000" w:themeColor="text1"/>
        </w:rPr>
        <w:t xml:space="preserve">Peruvian citizens brought </w:t>
      </w:r>
      <w:hyperlink r:id="rId11" w:history="1">
        <w:r w:rsidR="00B8736C" w:rsidRPr="00865FAE">
          <w:rPr>
            <w:rStyle w:val="Hyperlink"/>
          </w:rPr>
          <w:t>a civil lawsuit to UK court</w:t>
        </w:r>
      </w:hyperlink>
      <w:r w:rsidR="00B8736C">
        <w:rPr>
          <w:color w:val="000000" w:themeColor="text1"/>
        </w:rPr>
        <w:t xml:space="preserve"> for</w:t>
      </w:r>
      <w:r w:rsidR="00770B88">
        <w:rPr>
          <w:rFonts w:cstheme="minorHAnsi"/>
        </w:rPr>
        <w:t xml:space="preserve"> violent </w:t>
      </w:r>
      <w:r w:rsidR="00B8736C">
        <w:rPr>
          <w:rFonts w:cstheme="minorHAnsi"/>
        </w:rPr>
        <w:t xml:space="preserve">police </w:t>
      </w:r>
      <w:r w:rsidR="00770B88">
        <w:rPr>
          <w:rFonts w:cstheme="minorHAnsi"/>
        </w:rPr>
        <w:t xml:space="preserve">repression of </w:t>
      </w:r>
      <w:r w:rsidR="00B8736C">
        <w:rPr>
          <w:rFonts w:cstheme="minorHAnsi"/>
        </w:rPr>
        <w:t xml:space="preserve">Indigenous communities protesting </w:t>
      </w:r>
      <w:r w:rsidR="00B8736C" w:rsidRPr="00147E0F">
        <w:rPr>
          <w:color w:val="000000" w:themeColor="text1"/>
        </w:rPr>
        <w:t>environmental contamination</w:t>
      </w:r>
      <w:r w:rsidR="00B8736C">
        <w:rPr>
          <w:color w:val="000000" w:themeColor="text1"/>
        </w:rPr>
        <w:t xml:space="preserve"> and </w:t>
      </w:r>
      <w:r w:rsidR="007F6786">
        <w:rPr>
          <w:color w:val="000000" w:themeColor="text1"/>
        </w:rPr>
        <w:t xml:space="preserve">the company’s </w:t>
      </w:r>
      <w:r w:rsidR="00B8736C">
        <w:rPr>
          <w:color w:val="000000" w:themeColor="text1"/>
        </w:rPr>
        <w:t xml:space="preserve">broken promises. </w:t>
      </w:r>
      <w:r w:rsidR="00746029">
        <w:rPr>
          <w:color w:val="000000" w:themeColor="text1"/>
        </w:rPr>
        <w:t>In this ca</w:t>
      </w:r>
      <w:r w:rsidR="00746029" w:rsidRPr="007F6786">
        <w:rPr>
          <w:color w:val="000000" w:themeColor="text1"/>
        </w:rPr>
        <w:t xml:space="preserve">se, </w:t>
      </w:r>
      <w:r w:rsidR="00FB3F9E">
        <w:rPr>
          <w:color w:val="000000" w:themeColor="text1"/>
        </w:rPr>
        <w:t xml:space="preserve">two were killed along with </w:t>
      </w:r>
      <w:r w:rsidR="007F6786">
        <w:rPr>
          <w:color w:val="000000" w:themeColor="text1"/>
        </w:rPr>
        <w:t>dozens</w:t>
      </w:r>
      <w:r w:rsidR="00B8736C" w:rsidRPr="007F6786">
        <w:rPr>
          <w:color w:val="000000" w:themeColor="text1"/>
        </w:rPr>
        <w:t xml:space="preserve"> injured</w:t>
      </w:r>
      <w:r w:rsidR="00FB3F9E">
        <w:rPr>
          <w:color w:val="000000" w:themeColor="text1"/>
        </w:rPr>
        <w:t xml:space="preserve"> and </w:t>
      </w:r>
      <w:r w:rsidR="00E7091A">
        <w:rPr>
          <w:color w:val="000000" w:themeColor="text1"/>
        </w:rPr>
        <w:t>tortured</w:t>
      </w:r>
      <w:r w:rsidR="00B8736C" w:rsidRPr="007F6786">
        <w:rPr>
          <w:color w:val="000000" w:themeColor="text1"/>
        </w:rPr>
        <w:t>.</w:t>
      </w:r>
      <w:r w:rsidR="00B8736C">
        <w:rPr>
          <w:color w:val="000000" w:themeColor="text1"/>
        </w:rPr>
        <w:t xml:space="preserve"> </w:t>
      </w:r>
    </w:p>
    <w:p w14:paraId="56499402" w14:textId="77777777" w:rsidR="00914489" w:rsidRDefault="00914489" w:rsidP="00914489">
      <w:pPr>
        <w:rPr>
          <w:rFonts w:cstheme="minorHAnsi"/>
        </w:rPr>
      </w:pPr>
    </w:p>
    <w:p w14:paraId="018A5483" w14:textId="0C5929CC" w:rsidR="00FB3F9E" w:rsidRDefault="00177708" w:rsidP="00914489">
      <w:r w:rsidRPr="00177708">
        <w:rPr>
          <w:lang w:val="en-US"/>
        </w:rPr>
        <w:t xml:space="preserve">The recent </w:t>
      </w:r>
      <w:r w:rsidR="00B8736C">
        <w:rPr>
          <w:lang w:val="en-US"/>
        </w:rPr>
        <w:t xml:space="preserve">Lima </w:t>
      </w:r>
      <w:r w:rsidR="00360987">
        <w:rPr>
          <w:lang w:val="en-US"/>
        </w:rPr>
        <w:t xml:space="preserve">court </w:t>
      </w:r>
      <w:r w:rsidRPr="00177708">
        <w:rPr>
          <w:lang w:val="en-US"/>
        </w:rPr>
        <w:t>decision</w:t>
      </w:r>
      <w:r w:rsidR="00360987">
        <w:rPr>
          <w:lang w:val="en-US"/>
        </w:rPr>
        <w:t xml:space="preserve"> in Jen Moore’s</w:t>
      </w:r>
      <w:r w:rsidR="00B8736C">
        <w:rPr>
          <w:lang w:val="en-US"/>
        </w:rPr>
        <w:t xml:space="preserve"> case</w:t>
      </w:r>
      <w:r w:rsidRPr="00177708">
        <w:rPr>
          <w:lang w:val="en-US"/>
        </w:rPr>
        <w:t xml:space="preserve"> </w:t>
      </w:r>
      <w:r w:rsidR="00FB3F9E" w:rsidRPr="00464D58">
        <w:rPr>
          <w:lang w:val="en-US"/>
        </w:rPr>
        <w:t xml:space="preserve">is </w:t>
      </w:r>
      <w:r w:rsidR="00FB3F9E" w:rsidRPr="00464D58">
        <w:t xml:space="preserve">relevant to other international journalists, filmmakers, academics, public interest researchers or </w:t>
      </w:r>
      <w:r w:rsidR="00FB3F9E">
        <w:t xml:space="preserve">independent </w:t>
      </w:r>
      <w:r w:rsidR="00FB3F9E" w:rsidRPr="00464D58">
        <w:t>technical consulta</w:t>
      </w:r>
      <w:r w:rsidR="00FB3F9E">
        <w:t>n</w:t>
      </w:r>
      <w:r w:rsidR="00FB3F9E" w:rsidRPr="00464D58">
        <w:t xml:space="preserve">ts who </w:t>
      </w:r>
      <w:r w:rsidR="00FB3F9E">
        <w:t xml:space="preserve">might </w:t>
      </w:r>
      <w:r w:rsidR="00FB3F9E" w:rsidRPr="00464D58">
        <w:t xml:space="preserve">seek to </w:t>
      </w:r>
      <w:r w:rsidR="00FB3F9E">
        <w:t>share</w:t>
      </w:r>
      <w:r w:rsidR="00FB3F9E" w:rsidRPr="00464D58">
        <w:t xml:space="preserve"> critical views about the negative impacts of extractive projects </w:t>
      </w:r>
      <w:r w:rsidR="00FB3F9E">
        <w:t xml:space="preserve">with communities in Peru. It is also fodder for those </w:t>
      </w:r>
      <w:r w:rsidR="00FB3F9E" w:rsidRPr="00464D58">
        <w:t>fighting</w:t>
      </w:r>
      <w:r w:rsidR="00FB3F9E">
        <w:t xml:space="preserve"> to stop</w:t>
      </w:r>
      <w:r w:rsidR="00FB3F9E" w:rsidRPr="00464D58">
        <w:t xml:space="preserve"> </w:t>
      </w:r>
      <w:r w:rsidR="00FB3F9E">
        <w:t xml:space="preserve">private </w:t>
      </w:r>
      <w:r w:rsidR="00FB3F9E" w:rsidRPr="00464D58">
        <w:t xml:space="preserve">police </w:t>
      </w:r>
      <w:r w:rsidR="00FB3F9E">
        <w:t xml:space="preserve">contracts. </w:t>
      </w:r>
    </w:p>
    <w:p w14:paraId="41B64DC0" w14:textId="77777777" w:rsidR="00FB3F9E" w:rsidRDefault="00FB3F9E" w:rsidP="00914489">
      <w:pPr>
        <w:rPr>
          <w:lang w:val="en-US"/>
        </w:rPr>
      </w:pPr>
    </w:p>
    <w:p w14:paraId="602F1300" w14:textId="7EBD4724" w:rsidR="00914489" w:rsidRDefault="0035676B" w:rsidP="00914489">
      <w:pPr>
        <w:rPr>
          <w:lang w:val="en-US"/>
        </w:rPr>
      </w:pPr>
      <w:r>
        <w:rPr>
          <w:lang w:val="en-US"/>
        </w:rPr>
        <w:t>“</w:t>
      </w:r>
      <w:r w:rsidR="00FB3F9E">
        <w:rPr>
          <w:lang w:val="en-US"/>
        </w:rPr>
        <w:t xml:space="preserve">Importantly, </w:t>
      </w:r>
      <w:r>
        <w:rPr>
          <w:lang w:val="en-US"/>
        </w:rPr>
        <w:t>this decision</w:t>
      </w:r>
      <w:r w:rsidR="00FB3F9E">
        <w:rPr>
          <w:lang w:val="en-US"/>
        </w:rPr>
        <w:t xml:space="preserve"> provides </w:t>
      </w:r>
      <w:r w:rsidR="00177708" w:rsidRPr="00177708">
        <w:rPr>
          <w:lang w:val="en-US"/>
        </w:rPr>
        <w:t xml:space="preserve">further evidence </w:t>
      </w:r>
      <w:r w:rsidR="000F2101">
        <w:rPr>
          <w:lang w:val="en-US"/>
        </w:rPr>
        <w:t>of</w:t>
      </w:r>
      <w:r w:rsidR="00177708">
        <w:rPr>
          <w:lang w:val="en-US"/>
        </w:rPr>
        <w:t xml:space="preserve"> how</w:t>
      </w:r>
      <w:r w:rsidR="00177708" w:rsidRPr="00177708">
        <w:rPr>
          <w:lang w:val="en-US"/>
        </w:rPr>
        <w:t xml:space="preserve"> the privatization of security forces in Peru </w:t>
      </w:r>
      <w:r w:rsidR="003A73F8">
        <w:rPr>
          <w:lang w:val="en-US"/>
        </w:rPr>
        <w:t>undermin</w:t>
      </w:r>
      <w:r w:rsidR="000F2101">
        <w:rPr>
          <w:lang w:val="en-US"/>
        </w:rPr>
        <w:t xml:space="preserve">es their impartiality and </w:t>
      </w:r>
      <w:proofErr w:type="gramStart"/>
      <w:r w:rsidR="000F2101">
        <w:rPr>
          <w:lang w:val="en-US"/>
        </w:rPr>
        <w:t>independence, and</w:t>
      </w:r>
      <w:proofErr w:type="gramEnd"/>
      <w:r w:rsidR="000F2101">
        <w:rPr>
          <w:lang w:val="en-US"/>
        </w:rPr>
        <w:t xml:space="preserve"> puts them at the service of companies like Hudbay Minerals </w:t>
      </w:r>
      <w:r w:rsidR="00FB3F9E">
        <w:rPr>
          <w:lang w:val="en-US"/>
        </w:rPr>
        <w:t>creating</w:t>
      </w:r>
      <w:r w:rsidR="000F2101">
        <w:rPr>
          <w:lang w:val="en-US"/>
        </w:rPr>
        <w:t xml:space="preserve"> a grave </w:t>
      </w:r>
      <w:r w:rsidR="003A73F8">
        <w:rPr>
          <w:lang w:val="en-US"/>
        </w:rPr>
        <w:t>conflict of interest</w:t>
      </w:r>
      <w:r w:rsidR="000F2101">
        <w:rPr>
          <w:lang w:val="en-US"/>
        </w:rPr>
        <w:t xml:space="preserve">. This </w:t>
      </w:r>
      <w:r w:rsidR="003F250D">
        <w:rPr>
          <w:lang w:val="en-US"/>
        </w:rPr>
        <w:t>creates a highly permissible environment for</w:t>
      </w:r>
      <w:r w:rsidR="000F2101">
        <w:rPr>
          <w:lang w:val="en-US"/>
        </w:rPr>
        <w:t xml:space="preserve"> human rights violations, including the criminalization and violent repression of people exercising their legitimate rights to protest </w:t>
      </w:r>
      <w:r>
        <w:rPr>
          <w:lang w:val="en-US"/>
        </w:rPr>
        <w:t>mining projects and related harms</w:t>
      </w:r>
      <w:r w:rsidR="000F2101">
        <w:rPr>
          <w:lang w:val="en-US"/>
        </w:rPr>
        <w:t xml:space="preserve">. </w:t>
      </w:r>
      <w:r>
        <w:rPr>
          <w:lang w:val="en-US"/>
        </w:rPr>
        <w:t>Further</w:t>
      </w:r>
      <w:r w:rsidR="00FB3F9E">
        <w:rPr>
          <w:lang w:val="en-US"/>
        </w:rPr>
        <w:t>, as</w:t>
      </w:r>
      <w:r w:rsidR="000F2101">
        <w:rPr>
          <w:lang w:val="en-US"/>
        </w:rPr>
        <w:t xml:space="preserve"> this case demonstrates, it heightens state and company control over the information people have access to</w:t>
      </w:r>
      <w:r w:rsidR="00FB3F9E">
        <w:rPr>
          <w:lang w:val="en-US"/>
        </w:rPr>
        <w:t>, such as</w:t>
      </w:r>
      <w:r w:rsidR="000F2101">
        <w:rPr>
          <w:lang w:val="en-US"/>
        </w:rPr>
        <w:t xml:space="preserve"> through the criminalization of independent researchers and journalists</w:t>
      </w:r>
      <w:r>
        <w:rPr>
          <w:lang w:val="en-US"/>
        </w:rPr>
        <w:t xml:space="preserve">,” remarked Moore. </w:t>
      </w:r>
      <w:r w:rsidR="000F2101">
        <w:rPr>
          <w:lang w:val="en-US"/>
        </w:rPr>
        <w:t xml:space="preserve"> </w:t>
      </w:r>
    </w:p>
    <w:p w14:paraId="686D057D" w14:textId="77777777" w:rsidR="000F252C" w:rsidRPr="00177708" w:rsidRDefault="000F252C" w:rsidP="00914489">
      <w:pPr>
        <w:rPr>
          <w:lang w:val="en-US"/>
        </w:rPr>
      </w:pPr>
    </w:p>
    <w:p w14:paraId="4764DCCB" w14:textId="2DDEC6BB" w:rsidR="00914489" w:rsidRDefault="00914489">
      <w:pPr>
        <w:rPr>
          <w:b/>
          <w:lang w:val="en-US"/>
        </w:rPr>
      </w:pPr>
      <w:r w:rsidRPr="00914489">
        <w:rPr>
          <w:b/>
          <w:lang w:val="en-US"/>
        </w:rPr>
        <w:t>Background</w:t>
      </w:r>
    </w:p>
    <w:p w14:paraId="567AAFBA" w14:textId="77777777" w:rsidR="00360987" w:rsidRPr="00914489" w:rsidRDefault="00360987">
      <w:pPr>
        <w:rPr>
          <w:b/>
          <w:lang w:val="en-US"/>
        </w:rPr>
      </w:pPr>
    </w:p>
    <w:p w14:paraId="4CBC4152" w14:textId="1F168F73" w:rsidR="001C501D" w:rsidRDefault="004D457E">
      <w:pPr>
        <w:rPr>
          <w:lang w:val="en-US"/>
        </w:rPr>
      </w:pPr>
      <w:r>
        <w:rPr>
          <w:lang w:val="en-US"/>
        </w:rPr>
        <w:t>On Friday</w:t>
      </w:r>
      <w:r w:rsidR="0009052E">
        <w:rPr>
          <w:lang w:val="en-US"/>
        </w:rPr>
        <w:t>,</w:t>
      </w:r>
      <w:r>
        <w:rPr>
          <w:lang w:val="en-US"/>
        </w:rPr>
        <w:t xml:space="preserve"> April 21, 2017, prior to</w:t>
      </w:r>
      <w:r w:rsidR="006962F4">
        <w:rPr>
          <w:lang w:val="en-US"/>
        </w:rPr>
        <w:t xml:space="preserve"> their</w:t>
      </w:r>
      <w:r>
        <w:rPr>
          <w:lang w:val="en-US"/>
        </w:rPr>
        <w:t xml:space="preserve"> illegal</w:t>
      </w:r>
      <w:r w:rsidR="006962F4">
        <w:rPr>
          <w:lang w:val="en-US"/>
        </w:rPr>
        <w:t xml:space="preserve"> detention</w:t>
      </w:r>
      <w:r w:rsidR="00A94093">
        <w:rPr>
          <w:lang w:val="en-US"/>
        </w:rPr>
        <w:t>,</w:t>
      </w:r>
      <w:r w:rsidR="001C501D">
        <w:rPr>
          <w:lang w:val="en-US"/>
        </w:rPr>
        <w:t xml:space="preserve"> </w:t>
      </w:r>
      <w:r w:rsidR="00C454C5">
        <w:rPr>
          <w:lang w:val="en-US"/>
        </w:rPr>
        <w:t>Moore and Dougherty</w:t>
      </w:r>
      <w:r w:rsidR="001C501D">
        <w:rPr>
          <w:lang w:val="en-US"/>
        </w:rPr>
        <w:t xml:space="preserve"> were traveling </w:t>
      </w:r>
      <w:r w:rsidR="00C454C5">
        <w:rPr>
          <w:lang w:val="en-US"/>
        </w:rPr>
        <w:t>around</w:t>
      </w:r>
      <w:r w:rsidR="001C501D">
        <w:rPr>
          <w:lang w:val="en-US"/>
        </w:rPr>
        <w:t xml:space="preserve"> Cusco to share a documentary film, </w:t>
      </w:r>
      <w:hyperlink r:id="rId12" w:history="1">
        <w:proofErr w:type="spellStart"/>
        <w:r w:rsidR="001C501D" w:rsidRPr="00865FAE">
          <w:rPr>
            <w:rStyle w:val="Hyperlink"/>
            <w:i/>
            <w:lang w:val="en-US"/>
          </w:rPr>
          <w:t>Flin</w:t>
        </w:r>
        <w:proofErr w:type="spellEnd"/>
        <w:r w:rsidR="001C501D" w:rsidRPr="00865FAE">
          <w:rPr>
            <w:rStyle w:val="Hyperlink"/>
            <w:i/>
            <w:lang w:val="en-US"/>
          </w:rPr>
          <w:t xml:space="preserve"> </w:t>
        </w:r>
        <w:proofErr w:type="spellStart"/>
        <w:r w:rsidR="001C501D" w:rsidRPr="00865FAE">
          <w:rPr>
            <w:rStyle w:val="Hyperlink"/>
            <w:i/>
            <w:lang w:val="en-US"/>
          </w:rPr>
          <w:t>Flon</w:t>
        </w:r>
        <w:proofErr w:type="spellEnd"/>
        <w:r w:rsidR="001C501D" w:rsidRPr="00865FAE">
          <w:rPr>
            <w:rStyle w:val="Hyperlink"/>
            <w:i/>
            <w:lang w:val="en-US"/>
          </w:rPr>
          <w:t xml:space="preserve"> </w:t>
        </w:r>
        <w:proofErr w:type="spellStart"/>
        <w:r w:rsidR="001C501D" w:rsidRPr="00865FAE">
          <w:rPr>
            <w:rStyle w:val="Hyperlink"/>
            <w:i/>
            <w:lang w:val="en-US"/>
          </w:rPr>
          <w:t>Flim</w:t>
        </w:r>
        <w:proofErr w:type="spellEnd"/>
        <w:r w:rsidR="001C501D" w:rsidRPr="00865FAE">
          <w:rPr>
            <w:rStyle w:val="Hyperlink"/>
            <w:i/>
            <w:lang w:val="en-US"/>
          </w:rPr>
          <w:t xml:space="preserve"> Flam</w:t>
        </w:r>
      </w:hyperlink>
      <w:r w:rsidR="001C501D">
        <w:rPr>
          <w:lang w:val="en-US"/>
        </w:rPr>
        <w:t xml:space="preserve">, about the </w:t>
      </w:r>
      <w:r w:rsidR="00C454C5">
        <w:rPr>
          <w:lang w:val="en-US"/>
        </w:rPr>
        <w:t xml:space="preserve">legacy of </w:t>
      </w:r>
      <w:r w:rsidR="00511717">
        <w:rPr>
          <w:lang w:val="en-US"/>
        </w:rPr>
        <w:t>neo</w:t>
      </w:r>
      <w:r w:rsidR="00C454C5">
        <w:rPr>
          <w:lang w:val="en-US"/>
        </w:rPr>
        <w:t>colonial</w:t>
      </w:r>
      <w:r w:rsidR="001C501D">
        <w:rPr>
          <w:lang w:val="en-US"/>
        </w:rPr>
        <w:t xml:space="preserve"> violence, environmental contamination, broken promises </w:t>
      </w:r>
      <w:r w:rsidR="00C454C5">
        <w:rPr>
          <w:lang w:val="en-US"/>
        </w:rPr>
        <w:t xml:space="preserve">and </w:t>
      </w:r>
      <w:r w:rsidR="00511717">
        <w:rPr>
          <w:lang w:val="en-US"/>
        </w:rPr>
        <w:t>police repression</w:t>
      </w:r>
      <w:r w:rsidR="00C454C5">
        <w:rPr>
          <w:lang w:val="en-US"/>
        </w:rPr>
        <w:t xml:space="preserve"> </w:t>
      </w:r>
      <w:r w:rsidR="001C501D">
        <w:rPr>
          <w:lang w:val="en-US"/>
        </w:rPr>
        <w:t xml:space="preserve">at </w:t>
      </w:r>
      <w:r>
        <w:rPr>
          <w:lang w:val="en-US"/>
        </w:rPr>
        <w:t>Hudbay Minerals’</w:t>
      </w:r>
      <w:r w:rsidR="001C501D">
        <w:rPr>
          <w:lang w:val="en-US"/>
        </w:rPr>
        <w:t xml:space="preserve"> mine operations in Canada, the U</w:t>
      </w:r>
      <w:r w:rsidR="00C454C5">
        <w:rPr>
          <w:lang w:val="en-US"/>
        </w:rPr>
        <w:t>.</w:t>
      </w:r>
      <w:r w:rsidR="001C501D">
        <w:rPr>
          <w:lang w:val="en-US"/>
        </w:rPr>
        <w:t>S</w:t>
      </w:r>
      <w:r w:rsidR="00C454C5">
        <w:rPr>
          <w:lang w:val="en-US"/>
        </w:rPr>
        <w:t>., Guatemala</w:t>
      </w:r>
      <w:r w:rsidR="001C501D">
        <w:rPr>
          <w:lang w:val="en-US"/>
        </w:rPr>
        <w:t xml:space="preserve"> and Peru. </w:t>
      </w:r>
    </w:p>
    <w:p w14:paraId="683C3E0E" w14:textId="77777777" w:rsidR="001C501D" w:rsidRDefault="001C501D">
      <w:pPr>
        <w:rPr>
          <w:lang w:val="en-US"/>
        </w:rPr>
      </w:pPr>
    </w:p>
    <w:p w14:paraId="3FA4B3D5" w14:textId="7D26B284" w:rsidR="001C501D" w:rsidRDefault="004D457E">
      <w:pPr>
        <w:rPr>
          <w:lang w:val="en-US"/>
        </w:rPr>
      </w:pPr>
      <w:r>
        <w:rPr>
          <w:lang w:val="en-US"/>
        </w:rPr>
        <w:t>That evening</w:t>
      </w:r>
      <w:r w:rsidR="001C501D">
        <w:rPr>
          <w:lang w:val="en-US"/>
        </w:rPr>
        <w:t>,</w:t>
      </w:r>
      <w:r>
        <w:rPr>
          <w:lang w:val="en-US"/>
        </w:rPr>
        <w:t xml:space="preserve"> around</w:t>
      </w:r>
      <w:r w:rsidR="001C501D">
        <w:rPr>
          <w:lang w:val="en-US"/>
        </w:rPr>
        <w:t xml:space="preserve"> </w:t>
      </w:r>
      <w:r w:rsidR="00511717" w:rsidRPr="00511717">
        <w:rPr>
          <w:lang w:val="en-US"/>
        </w:rPr>
        <w:t>15 to 20 mostly</w:t>
      </w:r>
      <w:r w:rsidR="001C501D">
        <w:rPr>
          <w:lang w:val="en-US"/>
        </w:rPr>
        <w:t xml:space="preserve"> plain clothes police and migration officials surrounded them outside the </w:t>
      </w:r>
      <w:r w:rsidR="00C454C5">
        <w:rPr>
          <w:lang w:val="en-US"/>
        </w:rPr>
        <w:t xml:space="preserve">Cusco </w:t>
      </w:r>
      <w:r w:rsidR="001C501D">
        <w:rPr>
          <w:lang w:val="en-US"/>
        </w:rPr>
        <w:t xml:space="preserve">Cultural Centre </w:t>
      </w:r>
      <w:r w:rsidR="00A94093">
        <w:rPr>
          <w:lang w:val="en-US"/>
        </w:rPr>
        <w:t xml:space="preserve">just steps from the </w:t>
      </w:r>
      <w:r w:rsidR="00C454C5">
        <w:rPr>
          <w:lang w:val="en-US"/>
        </w:rPr>
        <w:t xml:space="preserve">busy </w:t>
      </w:r>
      <w:r w:rsidR="00A94093">
        <w:rPr>
          <w:lang w:val="en-US"/>
        </w:rPr>
        <w:t xml:space="preserve">central plaza </w:t>
      </w:r>
      <w:r w:rsidR="001C501D">
        <w:rPr>
          <w:lang w:val="en-US"/>
        </w:rPr>
        <w:t xml:space="preserve">after </w:t>
      </w:r>
      <w:r>
        <w:rPr>
          <w:lang w:val="en-US"/>
        </w:rPr>
        <w:t>a public</w:t>
      </w:r>
      <w:r w:rsidR="001C501D">
        <w:rPr>
          <w:lang w:val="en-US"/>
        </w:rPr>
        <w:t xml:space="preserve"> screening of the film</w:t>
      </w:r>
      <w:r>
        <w:rPr>
          <w:lang w:val="en-US"/>
        </w:rPr>
        <w:t xml:space="preserve"> organized with Peruvian organizations</w:t>
      </w:r>
      <w:r w:rsidR="001C501D">
        <w:rPr>
          <w:lang w:val="en-US"/>
        </w:rPr>
        <w:t xml:space="preserve">. They </w:t>
      </w:r>
      <w:r w:rsidR="00A94093">
        <w:rPr>
          <w:lang w:val="en-US"/>
        </w:rPr>
        <w:t xml:space="preserve">were </w:t>
      </w:r>
      <w:r w:rsidR="001C501D">
        <w:rPr>
          <w:lang w:val="en-US"/>
        </w:rPr>
        <w:t xml:space="preserve">detained in the </w:t>
      </w:r>
      <w:r w:rsidR="0005123F">
        <w:rPr>
          <w:lang w:val="en-US"/>
        </w:rPr>
        <w:t xml:space="preserve">Cusco </w:t>
      </w:r>
      <w:r w:rsidR="001C501D">
        <w:rPr>
          <w:lang w:val="en-US"/>
        </w:rPr>
        <w:t>migration office for four hours</w:t>
      </w:r>
      <w:r w:rsidR="0005123F">
        <w:rPr>
          <w:lang w:val="en-US"/>
        </w:rPr>
        <w:t>, the maximum time allowed by law,</w:t>
      </w:r>
      <w:r w:rsidR="001C501D">
        <w:rPr>
          <w:lang w:val="en-US"/>
        </w:rPr>
        <w:t xml:space="preserve"> where they were questioned about their activities</w:t>
      </w:r>
      <w:r w:rsidR="0005123F">
        <w:rPr>
          <w:lang w:val="en-US"/>
        </w:rPr>
        <w:t xml:space="preserve"> filmed by unidentified individuals</w:t>
      </w:r>
      <w:r w:rsidR="001C501D">
        <w:rPr>
          <w:lang w:val="en-US"/>
        </w:rPr>
        <w:t xml:space="preserve">. </w:t>
      </w:r>
    </w:p>
    <w:p w14:paraId="3C451B12" w14:textId="77777777" w:rsidR="001C501D" w:rsidRDefault="001C501D">
      <w:pPr>
        <w:rPr>
          <w:lang w:val="en-US"/>
        </w:rPr>
      </w:pPr>
    </w:p>
    <w:p w14:paraId="0A13EB00" w14:textId="480DE985" w:rsidR="001C501D" w:rsidRPr="00511717" w:rsidRDefault="00511717" w:rsidP="00511717">
      <w:r w:rsidRPr="00511717">
        <w:rPr>
          <w:rFonts w:cstheme="minorHAnsi"/>
          <w:color w:val="000000" w:themeColor="text1"/>
        </w:rPr>
        <w:t xml:space="preserve">Even before Moore and Dougherty arrived in Peru, an anonymous columnist accused </w:t>
      </w:r>
      <w:r w:rsidR="00914489">
        <w:rPr>
          <w:rFonts w:cstheme="minorHAnsi"/>
          <w:color w:val="000000" w:themeColor="text1"/>
        </w:rPr>
        <w:t>Moore</w:t>
      </w:r>
      <w:r w:rsidRPr="00511717">
        <w:rPr>
          <w:rFonts w:cstheme="minorHAnsi"/>
          <w:color w:val="000000" w:themeColor="text1"/>
        </w:rPr>
        <w:t xml:space="preserve"> and Peruvian organizations Human Rights Without Borders and </w:t>
      </w:r>
      <w:proofErr w:type="spellStart"/>
      <w:r w:rsidRPr="00511717">
        <w:rPr>
          <w:rFonts w:cstheme="minorHAnsi"/>
          <w:color w:val="000000" w:themeColor="text1"/>
        </w:rPr>
        <w:t>Cooperacción</w:t>
      </w:r>
      <w:proofErr w:type="spellEnd"/>
      <w:r w:rsidRPr="00511717">
        <w:rPr>
          <w:rFonts w:cstheme="minorHAnsi"/>
          <w:color w:val="000000" w:themeColor="text1"/>
        </w:rPr>
        <w:t xml:space="preserve"> with whom events were organized of “planning an ambush” against Hudbay Minerals and mining investment in southern Peru.</w:t>
      </w:r>
      <w:r w:rsidRPr="00511717">
        <w:rPr>
          <w:rFonts w:ascii="Arial" w:hAnsi="Arial" w:cs="Arial"/>
          <w:color w:val="000000" w:themeColor="text1"/>
          <w:sz w:val="23"/>
          <w:szCs w:val="23"/>
        </w:rPr>
        <w:t> </w:t>
      </w:r>
      <w:r w:rsidR="00A94093">
        <w:rPr>
          <w:lang w:val="en-US"/>
        </w:rPr>
        <w:t>D</w:t>
      </w:r>
      <w:r w:rsidR="001C501D">
        <w:rPr>
          <w:lang w:val="en-US"/>
        </w:rPr>
        <w:t>ays prior</w:t>
      </w:r>
      <w:r>
        <w:rPr>
          <w:lang w:val="en-US"/>
        </w:rPr>
        <w:t xml:space="preserve"> to their detention</w:t>
      </w:r>
      <w:r w:rsidR="001C501D">
        <w:rPr>
          <w:lang w:val="en-US"/>
        </w:rPr>
        <w:t xml:space="preserve">, </w:t>
      </w:r>
      <w:r w:rsidR="0005123F">
        <w:rPr>
          <w:lang w:val="en-US"/>
        </w:rPr>
        <w:t xml:space="preserve">they were </w:t>
      </w:r>
      <w:r>
        <w:rPr>
          <w:lang w:val="en-US"/>
        </w:rPr>
        <w:t>harassed and subject to police surveillance</w:t>
      </w:r>
      <w:r w:rsidR="0005123F">
        <w:rPr>
          <w:lang w:val="en-US"/>
        </w:rPr>
        <w:t xml:space="preserve"> </w:t>
      </w:r>
      <w:r w:rsidR="001C501D">
        <w:rPr>
          <w:lang w:val="en-US"/>
        </w:rPr>
        <w:t xml:space="preserve">while they were visiting communities </w:t>
      </w:r>
      <w:r w:rsidR="00C454C5">
        <w:rPr>
          <w:lang w:val="en-US"/>
        </w:rPr>
        <w:t>affected by</w:t>
      </w:r>
      <w:r w:rsidR="001C501D">
        <w:rPr>
          <w:lang w:val="en-US"/>
        </w:rPr>
        <w:t xml:space="preserve"> </w:t>
      </w:r>
      <w:proofErr w:type="spellStart"/>
      <w:r w:rsidR="001C501D">
        <w:rPr>
          <w:lang w:val="en-US"/>
        </w:rPr>
        <w:t>Hud</w:t>
      </w:r>
      <w:r w:rsidR="0005123F">
        <w:rPr>
          <w:lang w:val="en-US"/>
        </w:rPr>
        <w:t>B</w:t>
      </w:r>
      <w:r w:rsidR="001C501D">
        <w:rPr>
          <w:lang w:val="en-US"/>
        </w:rPr>
        <w:t>ay’s</w:t>
      </w:r>
      <w:proofErr w:type="spellEnd"/>
      <w:r w:rsidR="001C501D">
        <w:rPr>
          <w:lang w:val="en-US"/>
        </w:rPr>
        <w:t xml:space="preserve"> </w:t>
      </w:r>
      <w:proofErr w:type="spellStart"/>
      <w:r w:rsidR="001C501D">
        <w:rPr>
          <w:lang w:val="en-US"/>
        </w:rPr>
        <w:t>Constancia</w:t>
      </w:r>
      <w:proofErr w:type="spellEnd"/>
      <w:r w:rsidR="001C501D">
        <w:rPr>
          <w:lang w:val="en-US"/>
        </w:rPr>
        <w:t xml:space="preserve"> </w:t>
      </w:r>
      <w:r w:rsidR="00C454C5">
        <w:rPr>
          <w:lang w:val="en-US"/>
        </w:rPr>
        <w:t xml:space="preserve">copper </w:t>
      </w:r>
      <w:r w:rsidR="001C501D">
        <w:rPr>
          <w:lang w:val="en-US"/>
        </w:rPr>
        <w:t xml:space="preserve">mine in the province of </w:t>
      </w:r>
      <w:proofErr w:type="spellStart"/>
      <w:r w:rsidR="001C501D">
        <w:rPr>
          <w:lang w:val="en-US"/>
        </w:rPr>
        <w:t>Chumbivilcas</w:t>
      </w:r>
      <w:proofErr w:type="spellEnd"/>
      <w:r w:rsidR="0005123F">
        <w:rPr>
          <w:lang w:val="en-US"/>
        </w:rPr>
        <w:t>,</w:t>
      </w:r>
      <w:r w:rsidR="001C501D">
        <w:rPr>
          <w:lang w:val="en-US"/>
        </w:rPr>
        <w:t xml:space="preserve"> where they screened the film and distributed copies </w:t>
      </w:r>
      <w:r w:rsidR="00C454C5">
        <w:rPr>
          <w:lang w:val="en-US"/>
        </w:rPr>
        <w:t>in</w:t>
      </w:r>
      <w:r w:rsidR="001C501D">
        <w:rPr>
          <w:lang w:val="en-US"/>
        </w:rPr>
        <w:t xml:space="preserve"> Quechua</w:t>
      </w:r>
      <w:r w:rsidR="00A94093">
        <w:rPr>
          <w:lang w:val="en-US"/>
        </w:rPr>
        <w:t>. P</w:t>
      </w:r>
      <w:r w:rsidR="0076598B">
        <w:rPr>
          <w:lang w:val="en-US"/>
        </w:rPr>
        <w:t xml:space="preserve">olice </w:t>
      </w:r>
      <w:r w:rsidR="001C501D">
        <w:rPr>
          <w:lang w:val="en-US"/>
        </w:rPr>
        <w:t>questio</w:t>
      </w:r>
      <w:r w:rsidR="0076598B">
        <w:rPr>
          <w:lang w:val="en-US"/>
        </w:rPr>
        <w:t xml:space="preserve">ned </w:t>
      </w:r>
      <w:r w:rsidR="001C501D">
        <w:rPr>
          <w:lang w:val="en-US"/>
        </w:rPr>
        <w:t>local community leaders about their activities and s</w:t>
      </w:r>
      <w:r w:rsidR="0076598B">
        <w:rPr>
          <w:lang w:val="en-US"/>
        </w:rPr>
        <w:t>ought</w:t>
      </w:r>
      <w:r w:rsidR="001C501D">
        <w:rPr>
          <w:lang w:val="en-US"/>
        </w:rPr>
        <w:t xml:space="preserve"> their personal identification from a local hotel </w:t>
      </w:r>
      <w:r w:rsidR="00A94093">
        <w:rPr>
          <w:lang w:val="en-US"/>
        </w:rPr>
        <w:t>where they had stayed</w:t>
      </w:r>
      <w:r w:rsidR="008107F8">
        <w:rPr>
          <w:lang w:val="en-US"/>
        </w:rPr>
        <w:t xml:space="preserve"> without them being present</w:t>
      </w:r>
      <w:r w:rsidR="001C501D">
        <w:rPr>
          <w:lang w:val="en-US"/>
        </w:rPr>
        <w:t xml:space="preserve">. </w:t>
      </w:r>
    </w:p>
    <w:p w14:paraId="37E60A80" w14:textId="0F2DAC97" w:rsidR="001C501D" w:rsidRDefault="001C501D">
      <w:pPr>
        <w:rPr>
          <w:lang w:val="en-US"/>
        </w:rPr>
      </w:pPr>
    </w:p>
    <w:p w14:paraId="3178D69A" w14:textId="06BDB5ED" w:rsidR="008107F8" w:rsidRDefault="0076598B" w:rsidP="008107F8">
      <w:pPr>
        <w:rPr>
          <w:rFonts w:cstheme="minorHAnsi"/>
          <w:color w:val="000000" w:themeColor="text1"/>
          <w:lang w:val="en-US"/>
        </w:rPr>
      </w:pPr>
      <w:r>
        <w:rPr>
          <w:lang w:val="en-US"/>
        </w:rPr>
        <w:t xml:space="preserve">Less than twelve hours after their </w:t>
      </w:r>
      <w:r w:rsidRPr="00511717">
        <w:rPr>
          <w:rFonts w:cstheme="minorHAnsi"/>
          <w:color w:val="000000" w:themeColor="text1"/>
          <w:lang w:val="en-US"/>
        </w:rPr>
        <w:t>detention</w:t>
      </w:r>
      <w:r w:rsidR="0005123F" w:rsidRPr="00511717">
        <w:rPr>
          <w:rFonts w:cstheme="minorHAnsi"/>
          <w:color w:val="000000" w:themeColor="text1"/>
          <w:lang w:val="en-US"/>
        </w:rPr>
        <w:t xml:space="preserve">, </w:t>
      </w:r>
      <w:r w:rsidR="00511717" w:rsidRPr="00511717">
        <w:rPr>
          <w:rFonts w:eastAsia="Times New Roman" w:cstheme="minorHAnsi"/>
          <w:color w:val="000000" w:themeColor="text1"/>
        </w:rPr>
        <w:t xml:space="preserve">the Interior Ministry made clear the political nature of the detention by issuing </w:t>
      </w:r>
      <w:hyperlink r:id="rId13" w:history="1">
        <w:r w:rsidR="00511717" w:rsidRPr="00865FAE">
          <w:rPr>
            <w:rStyle w:val="Hyperlink"/>
            <w:rFonts w:eastAsia="Times New Roman" w:cstheme="minorHAnsi"/>
          </w:rPr>
          <w:t>a public notice</w:t>
        </w:r>
      </w:hyperlink>
      <w:r w:rsidR="00511717">
        <w:rPr>
          <w:rFonts w:eastAsia="Times New Roman" w:cstheme="minorHAnsi"/>
          <w:color w:val="000000" w:themeColor="text1"/>
        </w:rPr>
        <w:t>,</w:t>
      </w:r>
      <w:r w:rsidR="00511717" w:rsidRPr="00511717">
        <w:rPr>
          <w:rFonts w:eastAsia="Times New Roman" w:cstheme="minorHAnsi"/>
          <w:color w:val="000000" w:themeColor="text1"/>
        </w:rPr>
        <w:t xml:space="preserve"> declaring the two guilty of inciting violence and stating that expulsion would be a fitting sanction, while expressing explicit support for Hudbay’s operations</w:t>
      </w:r>
      <w:r w:rsidRPr="00511717">
        <w:rPr>
          <w:rFonts w:cstheme="minorHAnsi"/>
          <w:color w:val="000000" w:themeColor="text1"/>
          <w:lang w:val="en-US"/>
        </w:rPr>
        <w:t xml:space="preserve">. </w:t>
      </w:r>
    </w:p>
    <w:p w14:paraId="031EDCE3" w14:textId="77777777" w:rsidR="008107F8" w:rsidRDefault="008107F8" w:rsidP="008107F8">
      <w:pPr>
        <w:rPr>
          <w:lang w:val="en-US"/>
        </w:rPr>
      </w:pPr>
    </w:p>
    <w:p w14:paraId="641E9A64" w14:textId="4AF1240D" w:rsidR="008107F8" w:rsidRDefault="008107F8" w:rsidP="008107F8">
      <w:pPr>
        <w:rPr>
          <w:lang w:val="en-US"/>
        </w:rPr>
      </w:pPr>
      <w:r>
        <w:rPr>
          <w:lang w:val="en-US"/>
        </w:rPr>
        <w:lastRenderedPageBreak/>
        <w:t xml:space="preserve">The same day, the two left Peru upon advice from their lawyers given concerns for their safety and with plans to continue the process through their local legal representation. </w:t>
      </w:r>
    </w:p>
    <w:p w14:paraId="4FDA4385" w14:textId="77777777" w:rsidR="008107F8" w:rsidRDefault="008107F8">
      <w:pPr>
        <w:rPr>
          <w:lang w:val="en-US"/>
        </w:rPr>
      </w:pPr>
    </w:p>
    <w:p w14:paraId="1D6D6B3B" w14:textId="19023678" w:rsidR="00B5004F" w:rsidRDefault="0076598B">
      <w:pPr>
        <w:rPr>
          <w:lang w:val="en-US"/>
        </w:rPr>
      </w:pPr>
      <w:r>
        <w:rPr>
          <w:lang w:val="en-US"/>
        </w:rPr>
        <w:t>A day later</w:t>
      </w:r>
      <w:r w:rsidR="00A94093">
        <w:rPr>
          <w:lang w:val="en-US"/>
        </w:rPr>
        <w:t xml:space="preserve"> </w:t>
      </w:r>
      <w:r w:rsidR="008107F8">
        <w:rPr>
          <w:lang w:val="en-US"/>
        </w:rPr>
        <w:t>–</w:t>
      </w:r>
      <w:r>
        <w:rPr>
          <w:lang w:val="en-US"/>
        </w:rPr>
        <w:t xml:space="preserve"> </w:t>
      </w:r>
      <w:r w:rsidR="008107F8">
        <w:rPr>
          <w:lang w:val="en-US"/>
        </w:rPr>
        <w:t>Sunday April 23, 2017</w:t>
      </w:r>
      <w:r w:rsidR="00A94093">
        <w:rPr>
          <w:lang w:val="en-US"/>
        </w:rPr>
        <w:t xml:space="preserve"> -,</w:t>
      </w:r>
      <w:r>
        <w:rPr>
          <w:lang w:val="en-US"/>
        </w:rPr>
        <w:t xml:space="preserve"> </w:t>
      </w:r>
      <w:r w:rsidR="008107F8">
        <w:rPr>
          <w:lang w:val="en-US"/>
        </w:rPr>
        <w:t>the im</w:t>
      </w:r>
      <w:r>
        <w:rPr>
          <w:lang w:val="en-US"/>
        </w:rPr>
        <w:t>migration authorit</w:t>
      </w:r>
      <w:r w:rsidR="008107F8">
        <w:rPr>
          <w:lang w:val="en-US"/>
        </w:rPr>
        <w:t>y</w:t>
      </w:r>
      <w:r>
        <w:rPr>
          <w:lang w:val="en-US"/>
        </w:rPr>
        <w:t xml:space="preserve"> issued </w:t>
      </w:r>
      <w:r w:rsidR="008107F8">
        <w:rPr>
          <w:lang w:val="en-US"/>
        </w:rPr>
        <w:t>its</w:t>
      </w:r>
      <w:r>
        <w:rPr>
          <w:lang w:val="en-US"/>
        </w:rPr>
        <w:t xml:space="preserve"> decision to prohibit the two from reentering the country for an undefined period of time</w:t>
      </w:r>
      <w:r w:rsidR="0005123F">
        <w:rPr>
          <w:lang w:val="en-US"/>
        </w:rPr>
        <w:t xml:space="preserve"> </w:t>
      </w:r>
      <w:r>
        <w:rPr>
          <w:lang w:val="en-US"/>
        </w:rPr>
        <w:t xml:space="preserve">before they had </w:t>
      </w:r>
      <w:r w:rsidR="007460FD">
        <w:rPr>
          <w:lang w:val="en-US"/>
        </w:rPr>
        <w:t>any</w:t>
      </w:r>
      <w:r>
        <w:rPr>
          <w:lang w:val="en-US"/>
        </w:rPr>
        <w:t xml:space="preserve"> opportunity to respond to accusations</w:t>
      </w:r>
      <w:r w:rsidR="00A94093">
        <w:rPr>
          <w:lang w:val="en-US"/>
        </w:rPr>
        <w:t>,</w:t>
      </w:r>
      <w:r w:rsidR="00C454C5">
        <w:rPr>
          <w:lang w:val="en-US"/>
        </w:rPr>
        <w:t xml:space="preserve"> in</w:t>
      </w:r>
      <w:r w:rsidR="008107F8">
        <w:rPr>
          <w:lang w:val="en-US"/>
        </w:rPr>
        <w:t xml:space="preserve"> clear</w:t>
      </w:r>
      <w:r w:rsidR="00C454C5">
        <w:rPr>
          <w:lang w:val="en-US"/>
        </w:rPr>
        <w:t xml:space="preserve"> violation of</w:t>
      </w:r>
      <w:r w:rsidR="00A94093">
        <w:rPr>
          <w:lang w:val="en-US"/>
        </w:rPr>
        <w:t xml:space="preserve"> due process</w:t>
      </w:r>
      <w:r>
        <w:rPr>
          <w:lang w:val="en-US"/>
        </w:rPr>
        <w:t xml:space="preserve">. </w:t>
      </w:r>
      <w:r w:rsidR="008107F8">
        <w:rPr>
          <w:lang w:val="en-US"/>
        </w:rPr>
        <w:t xml:space="preserve">The two were never notified of this decision and only found out months later after obtaining court records. </w:t>
      </w:r>
    </w:p>
    <w:p w14:paraId="04F056AA" w14:textId="13396CA9" w:rsidR="0009052E" w:rsidRDefault="0009052E">
      <w:pPr>
        <w:rPr>
          <w:lang w:val="en-US"/>
        </w:rPr>
      </w:pPr>
    </w:p>
    <w:p w14:paraId="1D0A4C04" w14:textId="683B6458" w:rsidR="0009052E" w:rsidRPr="008107F8" w:rsidRDefault="0009052E">
      <w:pPr>
        <w:rPr>
          <w:rFonts w:ascii="Times New Roman" w:eastAsia="Times New Roman" w:hAnsi="Times New Roman" w:cs="Times New Roman"/>
        </w:rPr>
      </w:pPr>
      <w:r>
        <w:rPr>
          <w:lang w:val="en-US"/>
        </w:rPr>
        <w:t xml:space="preserve">In </w:t>
      </w:r>
      <w:r w:rsidR="0035676B">
        <w:rPr>
          <w:lang w:val="en-US"/>
        </w:rPr>
        <w:t xml:space="preserve">a </w:t>
      </w:r>
      <w:r>
        <w:rPr>
          <w:lang w:val="en-US"/>
        </w:rPr>
        <w:t>separate legal case, Dougherty obtained a court ruling that determined the Peruvian authorities violated his due process</w:t>
      </w:r>
      <w:r w:rsidR="00423176">
        <w:rPr>
          <w:lang w:val="en-US"/>
        </w:rPr>
        <w:t xml:space="preserve"> rights when government banned him and Moore from the country.</w:t>
      </w:r>
      <w:r>
        <w:rPr>
          <w:lang w:val="en-US"/>
        </w:rPr>
        <w:t xml:space="preserve"> The court</w:t>
      </w:r>
      <w:r w:rsidR="00423176">
        <w:rPr>
          <w:lang w:val="en-US"/>
        </w:rPr>
        <w:t xml:space="preserve"> order</w:t>
      </w:r>
      <w:r>
        <w:rPr>
          <w:lang w:val="en-US"/>
        </w:rPr>
        <w:t xml:space="preserve"> </w:t>
      </w:r>
      <w:r w:rsidR="00423176">
        <w:rPr>
          <w:lang w:val="en-US"/>
        </w:rPr>
        <w:t>rescinded</w:t>
      </w:r>
      <w:r>
        <w:rPr>
          <w:lang w:val="en-US"/>
        </w:rPr>
        <w:t xml:space="preserve"> </w:t>
      </w:r>
      <w:r w:rsidR="00423176">
        <w:rPr>
          <w:lang w:val="en-US"/>
        </w:rPr>
        <w:t xml:space="preserve">the government’s </w:t>
      </w:r>
      <w:r>
        <w:rPr>
          <w:lang w:val="en-US"/>
        </w:rPr>
        <w:t xml:space="preserve">10-year ban on </w:t>
      </w:r>
      <w:r w:rsidR="00423176">
        <w:rPr>
          <w:lang w:val="en-US"/>
        </w:rPr>
        <w:t>Dougherty’s</w:t>
      </w:r>
      <w:r>
        <w:rPr>
          <w:lang w:val="en-US"/>
        </w:rPr>
        <w:t xml:space="preserve"> entry in Peru</w:t>
      </w:r>
      <w:r w:rsidR="00423176">
        <w:rPr>
          <w:lang w:val="en-US"/>
        </w:rPr>
        <w:t>.</w:t>
      </w:r>
    </w:p>
    <w:p w14:paraId="5F7A7DE1" w14:textId="77777777" w:rsidR="00B5004F" w:rsidRDefault="00B5004F">
      <w:pPr>
        <w:rPr>
          <w:lang w:val="en-US"/>
        </w:rPr>
      </w:pPr>
    </w:p>
    <w:p w14:paraId="5A9662A6" w14:textId="77777777" w:rsidR="001C501D" w:rsidRPr="001C501D" w:rsidRDefault="001C501D">
      <w:pPr>
        <w:rPr>
          <w:lang w:val="en-US"/>
        </w:rPr>
      </w:pPr>
    </w:p>
    <w:sectPr w:rsidR="001C501D" w:rsidRPr="001C501D" w:rsidSect="005B14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7D583" w14:textId="77777777" w:rsidR="00790532" w:rsidRDefault="00790532" w:rsidP="00B5004F">
      <w:r>
        <w:separator/>
      </w:r>
    </w:p>
  </w:endnote>
  <w:endnote w:type="continuationSeparator" w:id="0">
    <w:p w14:paraId="4C68F339" w14:textId="77777777" w:rsidR="00790532" w:rsidRDefault="00790532" w:rsidP="00B50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4DB60" w14:textId="77777777" w:rsidR="00790532" w:rsidRDefault="00790532" w:rsidP="00B5004F">
      <w:r>
        <w:separator/>
      </w:r>
    </w:p>
  </w:footnote>
  <w:footnote w:type="continuationSeparator" w:id="0">
    <w:p w14:paraId="0E075DCE" w14:textId="77777777" w:rsidR="00790532" w:rsidRDefault="00790532" w:rsidP="00B50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1D"/>
    <w:rsid w:val="0005123F"/>
    <w:rsid w:val="0009052E"/>
    <w:rsid w:val="000960D5"/>
    <w:rsid w:val="000F2101"/>
    <w:rsid w:val="000F252C"/>
    <w:rsid w:val="00144ACD"/>
    <w:rsid w:val="00151007"/>
    <w:rsid w:val="00177708"/>
    <w:rsid w:val="001C501D"/>
    <w:rsid w:val="001D47EA"/>
    <w:rsid w:val="003456FF"/>
    <w:rsid w:val="0035676B"/>
    <w:rsid w:val="00360987"/>
    <w:rsid w:val="00366A29"/>
    <w:rsid w:val="003747C6"/>
    <w:rsid w:val="003A73F8"/>
    <w:rsid w:val="003F250D"/>
    <w:rsid w:val="003F64F2"/>
    <w:rsid w:val="00423176"/>
    <w:rsid w:val="004D457E"/>
    <w:rsid w:val="004E544A"/>
    <w:rsid w:val="00511717"/>
    <w:rsid w:val="005B1416"/>
    <w:rsid w:val="006962F4"/>
    <w:rsid w:val="006D7A4E"/>
    <w:rsid w:val="00746029"/>
    <w:rsid w:val="007460FD"/>
    <w:rsid w:val="0076598B"/>
    <w:rsid w:val="00770B88"/>
    <w:rsid w:val="00790532"/>
    <w:rsid w:val="00792DF3"/>
    <w:rsid w:val="007D5074"/>
    <w:rsid w:val="007E3662"/>
    <w:rsid w:val="007F6786"/>
    <w:rsid w:val="007F6D78"/>
    <w:rsid w:val="008107F8"/>
    <w:rsid w:val="0081239E"/>
    <w:rsid w:val="00865D6C"/>
    <w:rsid w:val="00865FAE"/>
    <w:rsid w:val="008774B4"/>
    <w:rsid w:val="00914489"/>
    <w:rsid w:val="00942FA4"/>
    <w:rsid w:val="009442A1"/>
    <w:rsid w:val="00945BC0"/>
    <w:rsid w:val="0099480D"/>
    <w:rsid w:val="009A4343"/>
    <w:rsid w:val="00A26928"/>
    <w:rsid w:val="00A371BD"/>
    <w:rsid w:val="00A76FED"/>
    <w:rsid w:val="00A94093"/>
    <w:rsid w:val="00AE08B2"/>
    <w:rsid w:val="00B5004F"/>
    <w:rsid w:val="00B8736C"/>
    <w:rsid w:val="00BA4661"/>
    <w:rsid w:val="00BB423B"/>
    <w:rsid w:val="00BE74B0"/>
    <w:rsid w:val="00C454C5"/>
    <w:rsid w:val="00CA3246"/>
    <w:rsid w:val="00D72B8B"/>
    <w:rsid w:val="00D751C8"/>
    <w:rsid w:val="00E161D9"/>
    <w:rsid w:val="00E7091A"/>
    <w:rsid w:val="00EA4B82"/>
    <w:rsid w:val="00EF3C54"/>
    <w:rsid w:val="00FB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E9BB1"/>
  <w15:chartTrackingRefBased/>
  <w15:docId w15:val="{B587708F-0CB1-EF48-8BEC-545095CD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ne">
    <w:name w:val="None"/>
    <w:rsid w:val="00B5004F"/>
  </w:style>
  <w:style w:type="character" w:styleId="FootnoteReference">
    <w:name w:val="footnote reference"/>
    <w:basedOn w:val="DefaultParagraphFont"/>
    <w:uiPriority w:val="99"/>
    <w:unhideWhenUsed/>
    <w:rsid w:val="00B5004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D47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7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7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7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7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7E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7EA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47E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5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GgfkNNy-cfkVhujv4f32WyZigLkLulV8/view" TargetMode="External"/><Relationship Id="rId13" Type="http://schemas.openxmlformats.org/officeDocument/2006/relationships/hyperlink" Target="https://www.mininter.gob.pe/content/sobre-la-situaci%C3%B3n-migratoria-irregular-de-una-ciudadana-canadiense-y-un-norteamerican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iningwatch.ca/news/2017/5/17/miningwatch-canada-launches-legal-action-against-arbitrary-detention-connection" TargetMode="External"/><Relationship Id="rId12" Type="http://schemas.openxmlformats.org/officeDocument/2006/relationships/hyperlink" Target="https://www.youtube.com/watch?v=j7aacPtEI8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usiness-humanrights.org/en/peru-hudbay-minerals-responds-on-arrest-of-two-north-american-activists-allegedly-over-their-involvement-in-a-documentary-on-impacts-by-its-operations" TargetMode="External"/><Relationship Id="rId11" Type="http://schemas.openxmlformats.org/officeDocument/2006/relationships/hyperlink" Target="https://www.leighday.co.uk/News/News-2016/July-2016/UK-High-Court-rules-on-Xstrata-dispute-over-disclo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newint.org/features/2017/09/01/private-polic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arthrights.org/media/report-contracts-perus-police-extractive-compani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John Dougherty</cp:lastModifiedBy>
  <cp:revision>2</cp:revision>
  <dcterms:created xsi:type="dcterms:W3CDTF">2019-10-24T19:09:00Z</dcterms:created>
  <dcterms:modified xsi:type="dcterms:W3CDTF">2019-10-24T19:09:00Z</dcterms:modified>
</cp:coreProperties>
</file>